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DB" w:rsidRPr="00C45513" w:rsidRDefault="00C45513" w:rsidP="00C4551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C45513">
        <w:rPr>
          <w:rFonts w:asciiTheme="minorHAnsi" w:hAnsiTheme="minorHAnsi"/>
          <w:b/>
          <w:sz w:val="20"/>
          <w:szCs w:val="20"/>
        </w:rPr>
        <w:t xml:space="preserve">FICHA TÉCNICA </w:t>
      </w:r>
    </w:p>
    <w:p w:rsidR="00C45513" w:rsidRPr="00C45513" w:rsidRDefault="00C45513" w:rsidP="00C4551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C45513">
        <w:rPr>
          <w:rFonts w:asciiTheme="minorHAnsi" w:hAnsiTheme="minorHAnsi"/>
          <w:b/>
          <w:sz w:val="20"/>
          <w:szCs w:val="20"/>
        </w:rPr>
        <w:t xml:space="preserve">Encuesta Nacional de Programas Estratégicos – </w:t>
      </w:r>
      <w:r w:rsidRPr="00C45513">
        <w:rPr>
          <w:rFonts w:asciiTheme="minorHAnsi" w:hAnsiTheme="minorHAnsi"/>
          <w:b/>
          <w:sz w:val="20"/>
          <w:szCs w:val="20"/>
        </w:rPr>
        <w:t>ENAPRES</w:t>
      </w:r>
      <w:r w:rsidRPr="00C45513">
        <w:rPr>
          <w:rFonts w:asciiTheme="minorHAnsi" w:hAnsiTheme="minorHAnsi"/>
          <w:b/>
          <w:sz w:val="20"/>
          <w:szCs w:val="20"/>
        </w:rPr>
        <w:t xml:space="preserve"> 2017</w:t>
      </w:r>
    </w:p>
    <w:p w:rsidR="00C45513" w:rsidRPr="00C45513" w:rsidRDefault="00C45513" w:rsidP="00C45513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C45513">
        <w:rPr>
          <w:rFonts w:asciiTheme="minorHAnsi" w:hAnsiTheme="minorHAnsi"/>
          <w:b/>
          <w:sz w:val="20"/>
          <w:szCs w:val="20"/>
        </w:rPr>
        <w:t>Instituto Nacional de Estadística e Informática IENI</w:t>
      </w:r>
    </w:p>
    <w:p w:rsidR="00C45513" w:rsidRPr="00C45513" w:rsidRDefault="00C45513" w:rsidP="00C45513">
      <w:pPr>
        <w:spacing w:after="0" w:line="240" w:lineRule="auto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</w:p>
    <w:p w:rsidR="00D805DB" w:rsidRPr="00C45513" w:rsidRDefault="00D805DB" w:rsidP="00C45513">
      <w:pPr>
        <w:spacing w:after="0" w:line="240" w:lineRule="auto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 xml:space="preserve">POBLACIÓN </w:t>
      </w:r>
      <w:r w:rsidR="00AF299D" w:rsidRPr="00C45513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OBJETIVO</w:t>
      </w:r>
    </w:p>
    <w:p w:rsidR="00B05019" w:rsidRPr="00C45513" w:rsidRDefault="00C45513" w:rsidP="00C45513">
      <w:pPr>
        <w:spacing w:after="0" w:line="240" w:lineRule="auto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>
        <w:rPr>
          <w:rFonts w:asciiTheme="minorHAnsi" w:hAnsiTheme="minorHAnsi"/>
          <w:color w:val="595959" w:themeColor="text1" w:themeTint="A6"/>
          <w:sz w:val="20"/>
          <w:szCs w:val="20"/>
        </w:rPr>
        <w:t>V</w:t>
      </w:r>
      <w:r w:rsidR="00B05019" w:rsidRPr="00C45513">
        <w:rPr>
          <w:rFonts w:asciiTheme="minorHAnsi" w:hAnsiTheme="minorHAnsi"/>
          <w:color w:val="595959" w:themeColor="text1" w:themeTint="A6"/>
          <w:sz w:val="20"/>
          <w:szCs w:val="20"/>
        </w:rPr>
        <w:t xml:space="preserve">iviendas particulares y sus ocupantes residentes habituales del área urbana y área rural de los 24 departamentos del país y la </w:t>
      </w:r>
      <w:r>
        <w:rPr>
          <w:rFonts w:asciiTheme="minorHAnsi" w:hAnsiTheme="minorHAnsi"/>
          <w:color w:val="595959" w:themeColor="text1" w:themeTint="A6"/>
          <w:sz w:val="20"/>
          <w:szCs w:val="20"/>
        </w:rPr>
        <w:t>P</w:t>
      </w:r>
      <w:r w:rsidR="00B05019" w:rsidRPr="00C45513">
        <w:rPr>
          <w:rFonts w:asciiTheme="minorHAnsi" w:hAnsiTheme="minorHAnsi"/>
          <w:color w:val="595959" w:themeColor="text1" w:themeTint="A6"/>
          <w:sz w:val="20"/>
          <w:szCs w:val="20"/>
        </w:rPr>
        <w:t>rovincia Constitucional del Callao.</w:t>
      </w:r>
    </w:p>
    <w:p w:rsidR="00C45513" w:rsidRPr="00C45513" w:rsidRDefault="00C45513" w:rsidP="00C45513">
      <w:pPr>
        <w:spacing w:after="0" w:line="240" w:lineRule="auto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</w:p>
    <w:p w:rsidR="00B05019" w:rsidRPr="00C45513" w:rsidRDefault="00B05019" w:rsidP="00C45513">
      <w:pPr>
        <w:spacing w:after="0" w:line="240" w:lineRule="auto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MARCO MUESTRAL</w:t>
      </w:r>
    </w:p>
    <w:p w:rsidR="00B05019" w:rsidRPr="00C45513" w:rsidRDefault="00B05019" w:rsidP="00C45513">
      <w:pPr>
        <w:spacing w:after="0" w:line="240" w:lineRule="auto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color w:val="595959" w:themeColor="text1" w:themeTint="A6"/>
          <w:sz w:val="20"/>
          <w:szCs w:val="20"/>
        </w:rPr>
        <w:t>El marco muestral básico para la selección de la muestra es la información estadística y cartográfica del Sistema de Focalización de Hogares SISFHO, con actualización al 2012 y 2013 del directorio de viviendas de cada conglomerado seleccionado.</w:t>
      </w:r>
    </w:p>
    <w:p w:rsidR="00C45513" w:rsidRPr="00C45513" w:rsidRDefault="00C45513" w:rsidP="00C45513">
      <w:pPr>
        <w:spacing w:after="0" w:line="240" w:lineRule="auto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</w:p>
    <w:p w:rsidR="00B05019" w:rsidRPr="00C45513" w:rsidRDefault="00B05019" w:rsidP="00C45513">
      <w:pPr>
        <w:spacing w:after="0" w:line="240" w:lineRule="auto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 xml:space="preserve">COBERTURA </w:t>
      </w:r>
      <w:r w:rsidR="009F7A33" w:rsidRPr="00C45513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GEOGRÁFICA</w:t>
      </w:r>
    </w:p>
    <w:p w:rsidR="00B05019" w:rsidRPr="00C45513" w:rsidRDefault="00B05019" w:rsidP="00C45513">
      <w:pPr>
        <w:spacing w:after="0" w:line="240" w:lineRule="auto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color w:val="595959" w:themeColor="text1" w:themeTint="A6"/>
          <w:sz w:val="20"/>
          <w:szCs w:val="20"/>
        </w:rPr>
        <w:t>La encuesta se realiza en el ámbito nacional, región natural, área urbana y rural</w:t>
      </w:r>
      <w:r w:rsidR="00AF299D" w:rsidRPr="00C45513">
        <w:rPr>
          <w:rFonts w:asciiTheme="minorHAnsi" w:hAnsiTheme="minorHAnsi"/>
          <w:color w:val="595959" w:themeColor="text1" w:themeTint="A6"/>
          <w:sz w:val="20"/>
          <w:szCs w:val="20"/>
        </w:rPr>
        <w:t>,</w:t>
      </w:r>
      <w:r w:rsidRPr="00C45513">
        <w:rPr>
          <w:rFonts w:asciiTheme="minorHAnsi" w:hAnsiTheme="minorHAnsi"/>
          <w:color w:val="595959" w:themeColor="text1" w:themeTint="A6"/>
          <w:sz w:val="20"/>
          <w:szCs w:val="20"/>
        </w:rPr>
        <w:t xml:space="preserve"> en los 24 departamentos del país y la Provincia Constitucional del Callao.</w:t>
      </w:r>
    </w:p>
    <w:p w:rsidR="00C45513" w:rsidRPr="00C45513" w:rsidRDefault="00C45513" w:rsidP="00C45513">
      <w:pPr>
        <w:spacing w:after="0" w:line="240" w:lineRule="auto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</w:p>
    <w:p w:rsidR="00B05019" w:rsidRPr="00C45513" w:rsidRDefault="00201423" w:rsidP="00C45513">
      <w:pPr>
        <w:spacing w:after="0" w:line="240" w:lineRule="auto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PERIODO DE ESTUDIO</w:t>
      </w:r>
    </w:p>
    <w:p w:rsidR="00B05019" w:rsidRPr="00C45513" w:rsidRDefault="00C45513" w:rsidP="00C45513">
      <w:pPr>
        <w:spacing w:after="0" w:line="240" w:lineRule="auto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>
        <w:rPr>
          <w:rFonts w:asciiTheme="minorHAnsi" w:hAnsiTheme="minorHAnsi"/>
          <w:color w:val="595959" w:themeColor="text1" w:themeTint="A6"/>
          <w:sz w:val="20"/>
          <w:szCs w:val="20"/>
        </w:rPr>
        <w:t xml:space="preserve">Enero a diciembre </w:t>
      </w:r>
      <w:r w:rsidR="00201423" w:rsidRPr="00C45513">
        <w:rPr>
          <w:rFonts w:asciiTheme="minorHAnsi" w:hAnsiTheme="minorHAnsi"/>
          <w:color w:val="595959" w:themeColor="text1" w:themeTint="A6"/>
          <w:sz w:val="20"/>
          <w:szCs w:val="20"/>
        </w:rPr>
        <w:t>2016</w:t>
      </w:r>
    </w:p>
    <w:p w:rsidR="00C45513" w:rsidRPr="00C45513" w:rsidRDefault="00C45513" w:rsidP="00C45513">
      <w:pPr>
        <w:spacing w:after="0" w:line="240" w:lineRule="auto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</w:p>
    <w:p w:rsidR="00B05019" w:rsidRPr="00C45513" w:rsidRDefault="00B05019" w:rsidP="00C45513">
      <w:pPr>
        <w:spacing w:after="0" w:line="240" w:lineRule="auto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TAMAÑO MUESTRAL</w:t>
      </w:r>
    </w:p>
    <w:p w:rsidR="009F7A33" w:rsidRPr="00C45513" w:rsidRDefault="009F7A33" w:rsidP="00C4551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color w:val="595959" w:themeColor="text1" w:themeTint="A6"/>
          <w:sz w:val="20"/>
          <w:szCs w:val="20"/>
        </w:rPr>
        <w:t xml:space="preserve">El tamaño de la muestra a nivel nacional es de </w:t>
      </w:r>
      <w:r w:rsidRPr="00C45513">
        <w:rPr>
          <w:rFonts w:asciiTheme="minorHAnsi" w:hAnsiTheme="minorHAnsi"/>
          <w:bCs/>
          <w:color w:val="595959" w:themeColor="text1" w:themeTint="A6"/>
          <w:sz w:val="20"/>
          <w:szCs w:val="20"/>
        </w:rPr>
        <w:t xml:space="preserve">44,000 </w:t>
      </w:r>
      <w:r w:rsidRPr="00C45513">
        <w:rPr>
          <w:rFonts w:asciiTheme="minorHAnsi" w:hAnsiTheme="minorHAnsi"/>
          <w:color w:val="595959" w:themeColor="text1" w:themeTint="A6"/>
          <w:sz w:val="20"/>
          <w:szCs w:val="20"/>
        </w:rPr>
        <w:t>viviendas particulares, correspondiendo 28,624 viviendas al área urbana y 15,376 viviendas al área rural.</w:t>
      </w:r>
    </w:p>
    <w:p w:rsidR="009F7A33" w:rsidRPr="00C45513" w:rsidRDefault="009F7A33" w:rsidP="00C45513">
      <w:pPr>
        <w:spacing w:after="0" w:line="240" w:lineRule="auto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</w:p>
    <w:p w:rsidR="00B05019" w:rsidRPr="00C45513" w:rsidRDefault="00B05019" w:rsidP="00C45513">
      <w:pPr>
        <w:spacing w:after="0" w:line="240" w:lineRule="auto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NIVEL DE CONFIABILIDAD</w:t>
      </w:r>
    </w:p>
    <w:p w:rsidR="00B05019" w:rsidRPr="00C45513" w:rsidRDefault="00B05019" w:rsidP="00C45513">
      <w:pPr>
        <w:spacing w:after="0" w:line="240" w:lineRule="auto"/>
        <w:jc w:val="both"/>
        <w:rPr>
          <w:rFonts w:asciiTheme="minorHAnsi" w:hAnsiTheme="minorHAnsi"/>
          <w:bCs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bCs/>
          <w:color w:val="595959" w:themeColor="text1" w:themeTint="A6"/>
          <w:sz w:val="20"/>
          <w:szCs w:val="20"/>
        </w:rPr>
        <w:t>95%</w:t>
      </w:r>
    </w:p>
    <w:p w:rsidR="00C45513" w:rsidRPr="00C45513" w:rsidRDefault="00C45513" w:rsidP="00C45513">
      <w:pPr>
        <w:pStyle w:val="Default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</w:p>
    <w:p w:rsidR="00EA3828" w:rsidRPr="00C45513" w:rsidRDefault="00EA3828" w:rsidP="00C45513">
      <w:pPr>
        <w:pStyle w:val="Default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  <w:t>TEMA CULTURAL INVESTIGADO</w:t>
      </w:r>
    </w:p>
    <w:p w:rsidR="00EA3828" w:rsidRPr="00C45513" w:rsidRDefault="00EA3828" w:rsidP="00C45513">
      <w:pPr>
        <w:pStyle w:val="Default"/>
        <w:jc w:val="both"/>
        <w:rPr>
          <w:rFonts w:asciiTheme="minorHAnsi" w:hAnsiTheme="minorHAnsi"/>
          <w:b/>
          <w:bCs/>
          <w:color w:val="595959" w:themeColor="text1" w:themeTint="A6"/>
          <w:sz w:val="20"/>
          <w:szCs w:val="20"/>
        </w:rPr>
      </w:pPr>
    </w:p>
    <w:p w:rsidR="00EA3828" w:rsidRPr="00C45513" w:rsidRDefault="00201423" w:rsidP="00C45513">
      <w:pPr>
        <w:pStyle w:val="Default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color w:val="595959" w:themeColor="text1" w:themeTint="A6"/>
          <w:sz w:val="20"/>
          <w:szCs w:val="20"/>
        </w:rPr>
        <w:t>Cuestionario ENAPRES</w:t>
      </w:r>
      <w:r w:rsidR="00EA3828" w:rsidRPr="00C45513">
        <w:rPr>
          <w:rFonts w:asciiTheme="minorHAnsi" w:hAnsiTheme="minorHAnsi"/>
          <w:color w:val="595959" w:themeColor="text1" w:themeTint="A6"/>
          <w:sz w:val="20"/>
          <w:szCs w:val="20"/>
        </w:rPr>
        <w:t xml:space="preserve">.800A </w:t>
      </w:r>
    </w:p>
    <w:p w:rsidR="00EA3828" w:rsidRPr="00C45513" w:rsidRDefault="00201423" w:rsidP="00C45513">
      <w:pPr>
        <w:pStyle w:val="Default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color w:val="595959" w:themeColor="text1" w:themeTint="A6"/>
          <w:sz w:val="20"/>
          <w:szCs w:val="20"/>
        </w:rPr>
        <w:t xml:space="preserve">Patrimonio, Servicios y Bienes Culturales </w:t>
      </w:r>
    </w:p>
    <w:p w:rsidR="00EA3828" w:rsidRPr="00C45513" w:rsidRDefault="00EA3828" w:rsidP="00C45513">
      <w:pPr>
        <w:pStyle w:val="Default"/>
        <w:jc w:val="both"/>
        <w:rPr>
          <w:rFonts w:asciiTheme="minorHAnsi" w:hAnsiTheme="minorHAnsi"/>
          <w:color w:val="595959" w:themeColor="text1" w:themeTint="A6"/>
          <w:sz w:val="20"/>
          <w:szCs w:val="20"/>
        </w:rPr>
      </w:pPr>
      <w:r w:rsidRPr="00C45513">
        <w:rPr>
          <w:rFonts w:asciiTheme="minorHAnsi" w:hAnsiTheme="minorHAnsi"/>
          <w:color w:val="595959" w:themeColor="text1" w:themeTint="A6"/>
          <w:sz w:val="20"/>
          <w:szCs w:val="20"/>
        </w:rPr>
        <w:t xml:space="preserve">(Persona de 14 y más años de edad) </w:t>
      </w:r>
    </w:p>
    <w:p w:rsidR="00EA3828" w:rsidRPr="00C45513" w:rsidRDefault="00EA3828" w:rsidP="00C45513">
      <w:pPr>
        <w:spacing w:after="0" w:line="240" w:lineRule="auto"/>
        <w:rPr>
          <w:rFonts w:ascii="Arial" w:hAnsi="Arial"/>
          <w:color w:val="595959" w:themeColor="text1" w:themeTint="A6"/>
          <w:sz w:val="20"/>
          <w:szCs w:val="20"/>
        </w:rPr>
      </w:pPr>
    </w:p>
    <w:p w:rsidR="00EA3828" w:rsidRPr="00C45513" w:rsidRDefault="00EA3828" w:rsidP="00C45513">
      <w:pPr>
        <w:spacing w:after="0" w:line="240" w:lineRule="auto"/>
        <w:rPr>
          <w:rFonts w:ascii="Arial" w:hAnsi="Arial"/>
          <w:b/>
          <w:bCs/>
          <w:color w:val="595959" w:themeColor="text1" w:themeTint="A6"/>
          <w:sz w:val="20"/>
          <w:szCs w:val="20"/>
        </w:rPr>
      </w:pPr>
    </w:p>
    <w:sectPr w:rsidR="00EA3828" w:rsidRPr="00C45513" w:rsidSect="005A01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B"/>
    <w:rsid w:val="00201423"/>
    <w:rsid w:val="00446B38"/>
    <w:rsid w:val="005A0129"/>
    <w:rsid w:val="009F7A33"/>
    <w:rsid w:val="00AF299D"/>
    <w:rsid w:val="00B05019"/>
    <w:rsid w:val="00C45513"/>
    <w:rsid w:val="00D805DB"/>
    <w:rsid w:val="00EA3828"/>
    <w:rsid w:val="00F4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302160-06CA-4745-84E8-02325112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18"/>
        <w:szCs w:val="18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1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A3828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jsacramento</dc:creator>
  <cp:lastModifiedBy>Julio Cesar Vega Guanilo</cp:lastModifiedBy>
  <cp:revision>2</cp:revision>
  <dcterms:created xsi:type="dcterms:W3CDTF">2017-03-28T20:02:00Z</dcterms:created>
  <dcterms:modified xsi:type="dcterms:W3CDTF">2017-03-28T20:02:00Z</dcterms:modified>
</cp:coreProperties>
</file>